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60" w:rsidRPr="000B64DD" w:rsidRDefault="007C204B">
      <w:pPr>
        <w:rPr>
          <w:rFonts w:ascii="TH SarabunPSK" w:hAnsi="TH SarabunPSK" w:cs="TH SarabunPSK"/>
          <w:b/>
          <w:bCs/>
        </w:rPr>
      </w:pPr>
      <w:r w:rsidRPr="000B64DD">
        <w:rPr>
          <w:rFonts w:ascii="TH SarabunPSK" w:hAnsi="TH SarabunPSK" w:cs="TH SarabunPSK"/>
          <w:b/>
          <w:bCs/>
          <w:cs/>
        </w:rPr>
        <w:t>ข้อมูลสถานการณ์ ปัจจัยที่ส่งผลกระ</w:t>
      </w:r>
      <w:bookmarkStart w:id="0" w:name="_GoBack"/>
      <w:bookmarkEnd w:id="0"/>
      <w:r w:rsidRPr="000B64DD">
        <w:rPr>
          <w:rFonts w:ascii="TH SarabunPSK" w:hAnsi="TH SarabunPSK" w:cs="TH SarabunPSK"/>
          <w:b/>
          <w:bCs/>
          <w:cs/>
        </w:rPr>
        <w:t xml:space="preserve">ทบและบทวิเคราะห์ </w:t>
      </w:r>
      <w:r w:rsidRPr="000B64DD">
        <w:rPr>
          <w:rFonts w:ascii="TH SarabunPSK" w:hAnsi="TH SarabunPSK" w:cs="TH SarabunPSK"/>
          <w:b/>
          <w:bCs/>
        </w:rPr>
        <w:t>Gap</w:t>
      </w: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0B64DD">
        <w:rPr>
          <w:rFonts w:ascii="TH SarabunPSK" w:hAnsi="TH SarabunPSK" w:cs="TH SarabunPSK"/>
          <w:b/>
          <w:bCs/>
        </w:rPr>
        <w:t xml:space="preserve">1. </w:t>
      </w:r>
      <w:r w:rsidRPr="000B64DD">
        <w:rPr>
          <w:rFonts w:ascii="TH SarabunPSK" w:hAnsi="TH SarabunPSK" w:cs="TH SarabunPSK"/>
          <w:b/>
          <w:bCs/>
          <w:cs/>
        </w:rPr>
        <w:t>ข้อมูลสถานการณ์</w:t>
      </w: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0B64DD">
        <w:rPr>
          <w:rFonts w:ascii="TH SarabunPSK" w:eastAsia="Calibri" w:hAnsi="TH SarabunPSK" w:cs="TH SarabunPSK"/>
          <w:sz w:val="32"/>
          <w:szCs w:val="32"/>
          <w:u w:val="single"/>
          <w:cs/>
        </w:rPr>
        <w:t>การรับรู้</w:t>
      </w:r>
      <w:r w:rsidRPr="000B64DD">
        <w:rPr>
          <w:rFonts w:ascii="TH SarabunPSK" w:hAnsi="TH SarabunPSK" w:cs="TH SarabunPSK"/>
          <w:sz w:val="32"/>
          <w:szCs w:val="32"/>
          <w:u w:val="single"/>
          <w:cs/>
        </w:rPr>
        <w:t>เรื่องอนุสัญญามินามาตะว่าด้วยปรอท</w:t>
      </w: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B64DD">
        <w:rPr>
          <w:rFonts w:ascii="TH SarabunPSK" w:hAnsi="TH SarabunPSK" w:cs="TH SarabunPSK"/>
          <w:sz w:val="32"/>
          <w:szCs w:val="32"/>
          <w:cs/>
        </w:rPr>
        <w:t xml:space="preserve">ความรู้เรื่องอนุสัญญามินามาตะว่าด้วยปรอท ผู้ตอบแบบสอบถามมีความรู้เรื่องอนุสัญญา        มินามาตะว่าด้วยปรอทร้อยละ </w:t>
      </w:r>
      <w:r w:rsidRPr="000B64DD">
        <w:rPr>
          <w:rFonts w:ascii="TH SarabunPSK" w:hAnsi="TH SarabunPSK" w:cs="TH SarabunPSK"/>
          <w:sz w:val="32"/>
          <w:szCs w:val="32"/>
        </w:rPr>
        <w:t xml:space="preserve">50.1 </w:t>
      </w:r>
      <w:r w:rsidRPr="000B64DD">
        <w:rPr>
          <w:rFonts w:ascii="TH SarabunPSK" w:hAnsi="TH SarabunPSK" w:cs="TH SarabunPSK"/>
          <w:sz w:val="32"/>
          <w:szCs w:val="32"/>
          <w:cs/>
        </w:rPr>
        <w:t>ในกลุ่มผู้ตอบว่ามีความรู้เรื่องอนุสัญญามินามาตะว่าด้วยปรอท            เป็น</w:t>
      </w:r>
      <w:proofErr w:type="spellStart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ทันต</w:t>
      </w:r>
      <w:proofErr w:type="spellEnd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แพทย์ ร้อยละ </w:t>
      </w:r>
      <w:r w:rsidRPr="000B64DD">
        <w:rPr>
          <w:rFonts w:ascii="TH SarabunPSK" w:hAnsi="TH SarabunPSK" w:cs="TH SarabunPSK"/>
          <w:color w:val="000000"/>
          <w:sz w:val="32"/>
          <w:szCs w:val="32"/>
        </w:rPr>
        <w:t>58.6</w:t>
      </w:r>
      <w:r w:rsidRPr="000B64DD">
        <w:rPr>
          <w:rFonts w:ascii="TH SarabunPSK" w:hAnsi="TH SarabunPSK" w:cs="TH SarabunPSK"/>
          <w:sz w:val="32"/>
          <w:szCs w:val="32"/>
        </w:rPr>
        <w:t xml:space="preserve"> </w:t>
      </w:r>
      <w:r w:rsidRPr="000B64DD">
        <w:rPr>
          <w:rFonts w:ascii="TH SarabunPSK" w:hAnsi="TH SarabunPSK" w:cs="TH SarabunPSK"/>
          <w:sz w:val="32"/>
          <w:szCs w:val="32"/>
          <w:cs/>
        </w:rPr>
        <w:t>ทัน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>บาล</w:t>
      </w:r>
      <w:r w:rsidRPr="000B64DD">
        <w:rPr>
          <w:rFonts w:ascii="TH SarabunPSK" w:hAnsi="TH SarabunPSK" w:cs="TH SarabunPSK"/>
          <w:sz w:val="32"/>
          <w:szCs w:val="32"/>
        </w:rPr>
        <w:t xml:space="preserve"> 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 w:rsidRPr="000B64DD">
        <w:rPr>
          <w:rFonts w:ascii="TH SarabunPSK" w:hAnsi="TH SarabunPSK" w:cs="TH SarabunPSK"/>
          <w:color w:val="000000"/>
          <w:sz w:val="32"/>
          <w:szCs w:val="32"/>
        </w:rPr>
        <w:t xml:space="preserve"> 45.0</w:t>
      </w:r>
      <w:r w:rsidRPr="000B64DD">
        <w:rPr>
          <w:rFonts w:ascii="TH SarabunPSK" w:hAnsi="TH SarabunPSK" w:cs="TH SarabunPSK"/>
          <w:sz w:val="32"/>
          <w:szCs w:val="32"/>
        </w:rPr>
        <w:t xml:space="preserve"> </w:t>
      </w:r>
      <w:r w:rsidRPr="000B64DD">
        <w:rPr>
          <w:rFonts w:ascii="TH SarabunPSK" w:hAnsi="TH SarabunPSK" w:cs="TH SarabunPSK"/>
          <w:sz w:val="32"/>
          <w:szCs w:val="32"/>
          <w:cs/>
        </w:rPr>
        <w:t>ส่วนใหญ่คิดว่าตนเองมีความรู้และปฏิบัติตัวได้ถูกต้องในการใช้วัสดุอุด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ฟันอะมัลกัม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</w:rPr>
        <w:t xml:space="preserve"> 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ร้อยละ 75.9 ไม่ทราบ/ไม่แน่ใจ ร้อยละ 23.9 </w:t>
      </w: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0B64D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7A3C5E4" wp14:editId="70EBA147">
            <wp:simplePos x="0" y="0"/>
            <wp:positionH relativeFrom="column">
              <wp:posOffset>2902643</wp:posOffset>
            </wp:positionH>
            <wp:positionV relativeFrom="paragraph">
              <wp:posOffset>109335</wp:posOffset>
            </wp:positionV>
            <wp:extent cx="3435927" cy="1924050"/>
            <wp:effectExtent l="0" t="0" r="0" b="0"/>
            <wp:wrapNone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4D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971EC0" wp14:editId="32836C44">
            <wp:simplePos x="0" y="0"/>
            <wp:positionH relativeFrom="column">
              <wp:posOffset>209550</wp:posOffset>
            </wp:positionH>
            <wp:positionV relativeFrom="paragraph">
              <wp:posOffset>107950</wp:posOffset>
            </wp:positionV>
            <wp:extent cx="2895600" cy="1771650"/>
            <wp:effectExtent l="0" t="0" r="0" b="0"/>
            <wp:wrapNone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B64DD">
        <w:rPr>
          <w:rFonts w:ascii="TH SarabunPSK" w:hAnsi="TH SarabunPSK" w:cs="TH SarabunPSK"/>
          <w:sz w:val="32"/>
          <w:szCs w:val="32"/>
          <w:u w:val="single"/>
          <w:cs/>
        </w:rPr>
        <w:t>การใช้วัสดุอุดฟัน</w:t>
      </w: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B64DD">
        <w:rPr>
          <w:rFonts w:ascii="TH SarabunPSK" w:hAnsi="TH SarabunPSK" w:cs="TH SarabunPSK"/>
          <w:sz w:val="32"/>
          <w:szCs w:val="32"/>
          <w:cs/>
        </w:rPr>
        <w:t>การใช้วัสดุอุด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ฟันอะมัลกัม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</w:rPr>
        <w:t xml:space="preserve"> </w:t>
      </w:r>
      <w:r w:rsidRPr="000B64DD">
        <w:rPr>
          <w:rFonts w:ascii="TH SarabunPSK" w:hAnsi="TH SarabunPSK" w:cs="TH SarabunPSK"/>
          <w:sz w:val="32"/>
          <w:szCs w:val="32"/>
          <w:cs/>
        </w:rPr>
        <w:t>สัดส่วนการใช้วัสดุอุด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ฟันอะมัลกัม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0B64DD">
        <w:rPr>
          <w:rFonts w:ascii="TH SarabunPSK" w:hAnsi="TH SarabunPSK" w:cs="TH SarabunPSK"/>
          <w:sz w:val="32"/>
          <w:szCs w:val="32"/>
        </w:rPr>
        <w:t xml:space="preserve">10 </w:t>
      </w:r>
      <w:r w:rsidRPr="000B64DD">
        <w:rPr>
          <w:rFonts w:ascii="TH SarabunPSK" w:hAnsi="TH SarabunPSK" w:cs="TH SarabunPSK"/>
          <w:sz w:val="32"/>
          <w:szCs w:val="32"/>
          <w:cs/>
        </w:rPr>
        <w:t>ส่วน ส่วนใหญ่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ใช้อะมัลกัม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 xml:space="preserve">สัดส่วนอยู่ที่ </w:t>
      </w:r>
      <w:r w:rsidRPr="000B64DD">
        <w:rPr>
          <w:rFonts w:ascii="TH SarabunPSK" w:hAnsi="TH SarabunPSK" w:cs="TH SarabunPSK"/>
          <w:sz w:val="32"/>
          <w:szCs w:val="32"/>
        </w:rPr>
        <w:t xml:space="preserve">5 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0B64DD">
        <w:rPr>
          <w:rFonts w:ascii="TH SarabunPSK" w:hAnsi="TH SarabunPSK" w:cs="TH SarabunPSK"/>
          <w:sz w:val="32"/>
          <w:szCs w:val="32"/>
        </w:rPr>
        <w:t xml:space="preserve">17.6 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รองลงมาใช้เป็นสัดส่วน 3 ร้อยละ </w:t>
      </w:r>
      <w:r w:rsidRPr="000B64DD">
        <w:rPr>
          <w:rFonts w:ascii="TH SarabunPSK" w:hAnsi="TH SarabunPSK" w:cs="TH SarabunPSK"/>
          <w:color w:val="000000"/>
          <w:sz w:val="32"/>
          <w:szCs w:val="32"/>
        </w:rPr>
        <w:t>15.8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โดยอะมัลกัม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>ที่ใช้ส่วนมาก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เป็นอะมัลกัม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>ชนิดแคปซูล</w:t>
      </w:r>
      <w:r w:rsidRPr="000B64DD">
        <w:rPr>
          <w:rFonts w:ascii="TH SarabunPSK" w:hAnsi="TH SarabunPSK" w:cs="TH SarabunPSK"/>
          <w:sz w:val="32"/>
          <w:szCs w:val="32"/>
        </w:rPr>
        <w:t xml:space="preserve"> (Capsulated) 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0B64DD">
        <w:rPr>
          <w:rFonts w:ascii="TH SarabunPSK" w:hAnsi="TH SarabunPSK" w:cs="TH SarabunPSK"/>
          <w:sz w:val="32"/>
          <w:szCs w:val="32"/>
        </w:rPr>
        <w:t xml:space="preserve">95.7 </w:t>
      </w: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0B64D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6DD2F3D" wp14:editId="1E6A1C64">
            <wp:simplePos x="0" y="0"/>
            <wp:positionH relativeFrom="margin">
              <wp:align>center</wp:align>
            </wp:positionH>
            <wp:positionV relativeFrom="paragraph">
              <wp:posOffset>3493</wp:posOffset>
            </wp:positionV>
            <wp:extent cx="3276600" cy="1905000"/>
            <wp:effectExtent l="0" t="0" r="0" b="0"/>
            <wp:wrapNone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0B64D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7CFEB16" wp14:editId="2E7AA520">
            <wp:simplePos x="0" y="0"/>
            <wp:positionH relativeFrom="margin">
              <wp:align>center</wp:align>
            </wp:positionH>
            <wp:positionV relativeFrom="paragraph">
              <wp:posOffset>411798</wp:posOffset>
            </wp:positionV>
            <wp:extent cx="3309620" cy="1928495"/>
            <wp:effectExtent l="0" t="0" r="5080" b="0"/>
            <wp:wrapTopAndBottom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B64DD">
        <w:rPr>
          <w:rFonts w:ascii="TH SarabunPSK" w:hAnsi="TH SarabunPSK" w:cs="TH SarabunPSK"/>
          <w:sz w:val="32"/>
          <w:szCs w:val="32"/>
          <w:u w:val="single"/>
          <w:cs/>
        </w:rPr>
        <w:t>การจัดการของเสียปนเปื้อน</w:t>
      </w:r>
      <w:proofErr w:type="spellStart"/>
      <w:r w:rsidRPr="000B64DD">
        <w:rPr>
          <w:rFonts w:ascii="TH SarabunPSK" w:hAnsi="TH SarabunPSK" w:cs="TH SarabunPSK"/>
          <w:sz w:val="32"/>
          <w:szCs w:val="32"/>
          <w:u w:val="single"/>
          <w:cs/>
        </w:rPr>
        <w:t>อะมัลกัม</w:t>
      </w:r>
      <w:proofErr w:type="spellEnd"/>
    </w:p>
    <w:p w:rsidR="007C204B" w:rsidRPr="000B64DD" w:rsidRDefault="007C204B" w:rsidP="007C204B">
      <w:pPr>
        <w:pStyle w:val="a3"/>
        <w:tabs>
          <w:tab w:val="left" w:pos="1134"/>
          <w:tab w:val="left" w:pos="1560"/>
          <w:tab w:val="left" w:pos="1985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B64DD">
        <w:rPr>
          <w:rFonts w:ascii="TH SarabunPSK" w:hAnsi="TH SarabunPSK" w:cs="TH SarabunPSK"/>
          <w:sz w:val="32"/>
          <w:szCs w:val="32"/>
          <w:cs/>
        </w:rPr>
        <w:lastRenderedPageBreak/>
        <w:t>การจัดการของเสียปนเปื้อน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มีการรวบรวม</w:t>
      </w:r>
      <w:proofErr w:type="spellStart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เศษอะมัลกัม</w:t>
      </w:r>
      <w:proofErr w:type="spellEnd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เพื่อกำจัดกับระบบของเสียของสถานพยาบาล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0B64DD">
        <w:rPr>
          <w:rFonts w:ascii="TH SarabunPSK" w:hAnsi="TH SarabunPSK" w:cs="TH SarabunPSK"/>
          <w:color w:val="000000"/>
          <w:sz w:val="32"/>
          <w:szCs w:val="32"/>
        </w:rPr>
        <w:t>74.2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 รองลงมาการ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เก็บรวบรวม</w:t>
      </w:r>
      <w:r w:rsidRPr="000B64D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รอจำหน่าย ร้อยละ 9.1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 เก็บใส่กระปุก แช่น้ำ 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ร้อยละ 4.3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 และมีการ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ติดตั้ง</w:t>
      </w:r>
      <w:r w:rsidRPr="000B64DD">
        <w:rPr>
          <w:rFonts w:ascii="TH SarabunPSK" w:hAnsi="TH SarabunPSK" w:cs="TH SarabunPSK"/>
          <w:color w:val="000000"/>
          <w:sz w:val="32"/>
          <w:szCs w:val="32"/>
        </w:rPr>
        <w:t xml:space="preserve"> Amalgam Separator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0B64DD">
        <w:rPr>
          <w:rFonts w:ascii="TH SarabunPSK" w:hAnsi="TH SarabunPSK" w:cs="TH SarabunPSK"/>
          <w:color w:val="000000"/>
          <w:sz w:val="32"/>
          <w:szCs w:val="32"/>
        </w:rPr>
        <w:t>2.0</w:t>
      </w:r>
    </w:p>
    <w:p w:rsidR="007C204B" w:rsidRPr="000B64DD" w:rsidRDefault="007C204B">
      <w:pPr>
        <w:rPr>
          <w:rFonts w:ascii="TH SarabunPSK" w:hAnsi="TH SarabunPSK" w:cs="TH SarabunPSK"/>
          <w:b/>
          <w:bCs/>
        </w:rPr>
      </w:pPr>
    </w:p>
    <w:p w:rsidR="00257734" w:rsidRPr="000B64DD" w:rsidRDefault="00257734" w:rsidP="00257734">
      <w:pPr>
        <w:pStyle w:val="a3"/>
        <w:tabs>
          <w:tab w:val="left" w:pos="1134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B64DD">
        <w:rPr>
          <w:rFonts w:ascii="TH SarabunPSK" w:hAnsi="TH SarabunPSK" w:cs="TH SarabunPSK"/>
          <w:sz w:val="32"/>
          <w:szCs w:val="32"/>
          <w:u w:val="single"/>
          <w:cs/>
        </w:rPr>
        <w:t>ความต้องการการสนับสนุน</w:t>
      </w:r>
    </w:p>
    <w:p w:rsidR="00257734" w:rsidRPr="000B64DD" w:rsidRDefault="00257734" w:rsidP="00257734">
      <w:pPr>
        <w:pStyle w:val="a3"/>
        <w:tabs>
          <w:tab w:val="left" w:pos="1134"/>
          <w:tab w:val="left" w:pos="1560"/>
          <w:tab w:val="left" w:pos="1985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4DD">
        <w:rPr>
          <w:rFonts w:ascii="TH SarabunPSK" w:hAnsi="TH SarabunPSK" w:cs="TH SarabunPSK"/>
          <w:sz w:val="32"/>
          <w:szCs w:val="32"/>
          <w:cs/>
        </w:rPr>
        <w:t xml:space="preserve">ความต้องการการสนับสนุนจากส่วนกลาง 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ต้องการให้จัดอบรมวิธีปฏิบัติที่เหมาะสม</w:t>
      </w:r>
      <w:r w:rsidRPr="000B64D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จัดอบรมเรื่องการจัดการของเสียจาก</w:t>
      </w:r>
      <w:proofErr w:type="spellStart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วัสดุอะมัลกัม</w:t>
      </w:r>
      <w:proofErr w:type="spellEnd"/>
      <w:r w:rsidRPr="000B64D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และมีคู่มือ</w:t>
      </w:r>
      <w:r w:rsidRPr="000B64DD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</w:t>
      </w:r>
      <w:proofErr w:type="spellStart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ใช้อะมัลกัม</w:t>
      </w:r>
      <w:proofErr w:type="spellEnd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อย่างเหมาะสมและการจัดการของเสียจาก</w:t>
      </w:r>
      <w:proofErr w:type="spellStart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วัสดุอะมัลกัม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</w:rPr>
        <w:t xml:space="preserve"> 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ร้อยละ 41.2 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สนับสนุนคู่มือ</w:t>
      </w:r>
      <w:r w:rsidRPr="000B64DD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</w:t>
      </w:r>
      <w:proofErr w:type="spellStart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ใช้อะมัลกัม</w:t>
      </w:r>
      <w:proofErr w:type="spellEnd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อย่างเหมาะสมและการจัดการของเสียจาก</w:t>
      </w:r>
      <w:proofErr w:type="spellStart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วัสดุอะมัลกัม</w:t>
      </w:r>
      <w:proofErr w:type="spellEnd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ร้อยละ 37.3</w:t>
      </w:r>
    </w:p>
    <w:p w:rsidR="007C204B" w:rsidRPr="000B64DD" w:rsidRDefault="007C204B">
      <w:pPr>
        <w:rPr>
          <w:rFonts w:ascii="TH SarabunPSK" w:hAnsi="TH SarabunPSK" w:cs="TH SarabunPSK"/>
          <w:b/>
          <w:bCs/>
        </w:rPr>
      </w:pPr>
    </w:p>
    <w:p w:rsidR="007C204B" w:rsidRPr="000B64DD" w:rsidRDefault="007C204B" w:rsidP="007C20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64D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57734" w:rsidRPr="000B64DD">
        <w:rPr>
          <w:rFonts w:ascii="TH SarabunPSK" w:hAnsi="TH SarabunPSK" w:cs="TH SarabunPSK"/>
          <w:sz w:val="32"/>
          <w:szCs w:val="32"/>
          <w:cs/>
        </w:rPr>
        <w:t>ในการ</w:t>
      </w:r>
      <w:proofErr w:type="spellStart"/>
      <w:r w:rsidR="00257734" w:rsidRPr="000B64DD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="00257734" w:rsidRPr="000B64DD">
        <w:rPr>
          <w:rFonts w:ascii="TH SarabunPSK" w:hAnsi="TH SarabunPSK" w:cs="TH SarabunPSK"/>
          <w:sz w:val="32"/>
          <w:szCs w:val="32"/>
          <w:cs/>
        </w:rPr>
        <w:t>ต่อการรับรู้</w:t>
      </w:r>
      <w:r w:rsidRPr="000B64DD">
        <w:rPr>
          <w:rFonts w:ascii="TH SarabunPSK" w:hAnsi="TH SarabunPSK" w:cs="TH SarabunPSK"/>
          <w:sz w:val="32"/>
          <w:szCs w:val="32"/>
          <w:cs/>
        </w:rPr>
        <w:t>อนุสนธิสัญญามินามาตะว่าด้วยสารปรอท</w:t>
      </w:r>
      <w:r w:rsidRPr="000B64D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985"/>
        <w:gridCol w:w="2068"/>
        <w:gridCol w:w="1617"/>
        <w:gridCol w:w="1559"/>
      </w:tblGrid>
      <w:tr w:rsidR="007C204B" w:rsidRPr="000B64DD" w:rsidTr="00DD4B1F">
        <w:trPr>
          <w:cantSplit/>
        </w:trPr>
        <w:tc>
          <w:tcPr>
            <w:tcW w:w="3833" w:type="dxa"/>
            <w:gridSpan w:val="2"/>
            <w:vMerge w:val="restart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7C204B" w:rsidRPr="000B64DD" w:rsidRDefault="007C204B" w:rsidP="00DD4B1F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  <w:cs/>
              </w:rPr>
              <w:t>อนุสนธิสัญญามินามาตะว่าด้วยสารปรอท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</w:tr>
      <w:tr w:rsidR="007C204B" w:rsidRPr="000B64DD" w:rsidTr="00DD4B1F">
        <w:trPr>
          <w:cantSplit/>
        </w:trPr>
        <w:tc>
          <w:tcPr>
            <w:tcW w:w="3833" w:type="dxa"/>
            <w:gridSpan w:val="2"/>
            <w:vMerge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</w:tc>
        <w:tc>
          <w:tcPr>
            <w:tcW w:w="1617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1559" w:type="dxa"/>
            <w:vMerge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04B" w:rsidRPr="000B64DD" w:rsidTr="00DD4B1F">
        <w:trPr>
          <w:cantSplit/>
        </w:trPr>
        <w:tc>
          <w:tcPr>
            <w:tcW w:w="1848" w:type="dxa"/>
            <w:vMerge w:val="restart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ทันต</w:t>
            </w:r>
            <w:proofErr w:type="spellEnd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แพทย์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6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617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55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169</w:t>
            </w:r>
          </w:p>
        </w:tc>
      </w:tr>
      <w:tr w:rsidR="007C204B" w:rsidRPr="000B64DD" w:rsidTr="00DD4B1F">
        <w:trPr>
          <w:cantSplit/>
        </w:trPr>
        <w:tc>
          <w:tcPr>
            <w:tcW w:w="1848" w:type="dxa"/>
            <w:vMerge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2068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58.6%</w:t>
            </w:r>
          </w:p>
        </w:tc>
        <w:tc>
          <w:tcPr>
            <w:tcW w:w="1617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41.4%</w:t>
            </w:r>
          </w:p>
        </w:tc>
        <w:tc>
          <w:tcPr>
            <w:tcW w:w="1559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100.0%</w:t>
            </w:r>
          </w:p>
        </w:tc>
      </w:tr>
      <w:tr w:rsidR="007C204B" w:rsidRPr="000B64DD" w:rsidTr="00DD4B1F">
        <w:trPr>
          <w:cantSplit/>
        </w:trPr>
        <w:tc>
          <w:tcPr>
            <w:tcW w:w="1848" w:type="dxa"/>
            <w:vMerge w:val="restart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ทัน</w:t>
            </w:r>
            <w:proofErr w:type="spellStart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ตาภิ</w:t>
            </w:r>
            <w:proofErr w:type="spellEnd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บาล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6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1617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155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</w:t>
            </w:r>
          </w:p>
        </w:tc>
      </w:tr>
      <w:tr w:rsidR="007C204B" w:rsidRPr="000B64DD" w:rsidTr="00DD4B1F">
        <w:trPr>
          <w:cantSplit/>
        </w:trPr>
        <w:tc>
          <w:tcPr>
            <w:tcW w:w="1848" w:type="dxa"/>
            <w:vMerge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2068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45.0%</w:t>
            </w:r>
          </w:p>
        </w:tc>
        <w:tc>
          <w:tcPr>
            <w:tcW w:w="1617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55.0%</w:t>
            </w:r>
          </w:p>
        </w:tc>
        <w:tc>
          <w:tcPr>
            <w:tcW w:w="1559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100.0%</w:t>
            </w:r>
          </w:p>
        </w:tc>
      </w:tr>
      <w:tr w:rsidR="007C204B" w:rsidRPr="000B64DD" w:rsidTr="00DD4B1F">
        <w:trPr>
          <w:cantSplit/>
        </w:trPr>
        <w:tc>
          <w:tcPr>
            <w:tcW w:w="1848" w:type="dxa"/>
            <w:vMerge w:val="restart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นวก</w:t>
            </w:r>
            <w:proofErr w:type="spellEnd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สธ</w:t>
            </w:r>
            <w:proofErr w:type="spellEnd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6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7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7C204B" w:rsidRPr="000B64DD" w:rsidTr="00DD4B1F">
        <w:trPr>
          <w:cantSplit/>
        </w:trPr>
        <w:tc>
          <w:tcPr>
            <w:tcW w:w="1848" w:type="dxa"/>
            <w:vMerge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2068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33.3%</w:t>
            </w:r>
          </w:p>
        </w:tc>
        <w:tc>
          <w:tcPr>
            <w:tcW w:w="1617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66.7%</w:t>
            </w:r>
          </w:p>
        </w:tc>
        <w:tc>
          <w:tcPr>
            <w:tcW w:w="1559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100.0%</w:t>
            </w:r>
          </w:p>
        </w:tc>
      </w:tr>
      <w:tr w:rsidR="007C204B" w:rsidRPr="000B64DD" w:rsidTr="00DD4B1F">
        <w:trPr>
          <w:cantSplit/>
        </w:trPr>
        <w:tc>
          <w:tcPr>
            <w:tcW w:w="1848" w:type="dxa"/>
            <w:vMerge w:val="restart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proofErr w:type="spellStart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ทพ</w:t>
            </w:r>
            <w:proofErr w:type="spellEnd"/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6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17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7C204B" w:rsidRPr="000B64DD" w:rsidTr="00DD4B1F">
        <w:trPr>
          <w:cantSplit/>
        </w:trPr>
        <w:tc>
          <w:tcPr>
            <w:tcW w:w="1848" w:type="dxa"/>
            <w:vMerge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2068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62.5%</w:t>
            </w:r>
          </w:p>
        </w:tc>
        <w:tc>
          <w:tcPr>
            <w:tcW w:w="1617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37.5%</w:t>
            </w:r>
          </w:p>
        </w:tc>
        <w:tc>
          <w:tcPr>
            <w:tcW w:w="1559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100.0%</w:t>
            </w:r>
          </w:p>
        </w:tc>
      </w:tr>
      <w:tr w:rsidR="007C204B" w:rsidRPr="000B64DD" w:rsidTr="00DD4B1F">
        <w:trPr>
          <w:cantSplit/>
        </w:trPr>
        <w:tc>
          <w:tcPr>
            <w:tcW w:w="1848" w:type="dxa"/>
            <w:vMerge w:val="restart"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6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247</w:t>
            </w:r>
          </w:p>
        </w:tc>
        <w:tc>
          <w:tcPr>
            <w:tcW w:w="1617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246</w:t>
            </w:r>
          </w:p>
        </w:tc>
        <w:tc>
          <w:tcPr>
            <w:tcW w:w="155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493</w:t>
            </w:r>
          </w:p>
        </w:tc>
      </w:tr>
      <w:tr w:rsidR="007C204B" w:rsidRPr="000B64DD" w:rsidTr="00DD4B1F">
        <w:trPr>
          <w:cantSplit/>
        </w:trPr>
        <w:tc>
          <w:tcPr>
            <w:tcW w:w="1848" w:type="dxa"/>
            <w:vMerge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206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50.1%</w:t>
            </w:r>
          </w:p>
        </w:tc>
        <w:tc>
          <w:tcPr>
            <w:tcW w:w="1617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49.9%</w:t>
            </w:r>
          </w:p>
        </w:tc>
        <w:tc>
          <w:tcPr>
            <w:tcW w:w="155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100.0%</w:t>
            </w:r>
          </w:p>
        </w:tc>
      </w:tr>
    </w:tbl>
    <w:p w:rsidR="007C204B" w:rsidRPr="000B64DD" w:rsidRDefault="00257734">
      <w:pPr>
        <w:rPr>
          <w:rFonts w:ascii="TH SarabunPSK" w:hAnsi="TH SarabunPSK" w:cs="TH SarabunPSK"/>
          <w:cs/>
        </w:rPr>
      </w:pPr>
      <w:r w:rsidRPr="000B64DD">
        <w:rPr>
          <w:rFonts w:ascii="TH SarabunPSK" w:hAnsi="TH SarabunPSK" w:cs="TH SarabunPSK"/>
        </w:rPr>
        <w:tab/>
      </w:r>
      <w:r w:rsidRPr="000B64DD">
        <w:rPr>
          <w:rFonts w:ascii="TH SarabunPSK" w:hAnsi="TH SarabunPSK" w:cs="TH SarabunPSK"/>
          <w:cs/>
        </w:rPr>
        <w:t xml:space="preserve">พบว่า </w:t>
      </w:r>
    </w:p>
    <w:p w:rsidR="00257734" w:rsidRPr="000B64DD" w:rsidRDefault="00257734">
      <w:pPr>
        <w:rPr>
          <w:rFonts w:ascii="TH SarabunPSK" w:hAnsi="TH SarabunPSK" w:cs="TH SarabunPSK"/>
        </w:rPr>
      </w:pPr>
    </w:p>
    <w:p w:rsidR="00257734" w:rsidRPr="000B64DD" w:rsidRDefault="00257734">
      <w:pPr>
        <w:rPr>
          <w:rFonts w:ascii="TH SarabunPSK" w:hAnsi="TH SarabunPSK" w:cs="TH SarabunPSK"/>
        </w:rPr>
      </w:pPr>
    </w:p>
    <w:p w:rsidR="00257734" w:rsidRPr="000B64DD" w:rsidRDefault="00257734">
      <w:pPr>
        <w:rPr>
          <w:rFonts w:ascii="TH SarabunPSK" w:hAnsi="TH SarabunPSK" w:cs="TH SarabunPSK"/>
        </w:rPr>
      </w:pPr>
    </w:p>
    <w:p w:rsidR="00257734" w:rsidRPr="000B64DD" w:rsidRDefault="00257734">
      <w:pPr>
        <w:rPr>
          <w:rFonts w:ascii="TH SarabunPSK" w:hAnsi="TH SarabunPSK" w:cs="TH SarabunPSK"/>
        </w:rPr>
      </w:pPr>
    </w:p>
    <w:p w:rsidR="00257734" w:rsidRPr="000B64DD" w:rsidRDefault="00257734">
      <w:pPr>
        <w:rPr>
          <w:rFonts w:ascii="TH SarabunPSK" w:hAnsi="TH SarabunPSK" w:cs="TH SarabunPSK"/>
        </w:rPr>
      </w:pPr>
    </w:p>
    <w:p w:rsidR="00257734" w:rsidRPr="000B64DD" w:rsidRDefault="00257734">
      <w:pPr>
        <w:rPr>
          <w:rFonts w:ascii="TH SarabunPSK" w:hAnsi="TH SarabunPSK" w:cs="TH SarabunPSK"/>
        </w:rPr>
      </w:pPr>
    </w:p>
    <w:p w:rsidR="007C204B" w:rsidRPr="000B64DD" w:rsidRDefault="00257734" w:rsidP="007C204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64DD">
        <w:rPr>
          <w:rFonts w:ascii="TH SarabunPSK" w:hAnsi="TH SarabunPSK" w:cs="TH SarabunPSK"/>
          <w:sz w:val="32"/>
          <w:szCs w:val="32"/>
          <w:cs/>
        </w:rPr>
        <w:t>การรับรู้</w:t>
      </w:r>
      <w:r w:rsidR="007C204B" w:rsidRPr="000B64DD">
        <w:rPr>
          <w:rFonts w:ascii="TH SarabunPSK" w:hAnsi="TH SarabunPSK" w:cs="TH SarabunPSK"/>
          <w:sz w:val="32"/>
          <w:szCs w:val="32"/>
          <w:cs/>
        </w:rPr>
        <w:t>อนุสนธิสัญญามินามาตะว่าด้วยสารปรอท</w:t>
      </w:r>
      <w:r w:rsidRPr="000B64DD">
        <w:rPr>
          <w:rFonts w:ascii="TH SarabunPSK" w:hAnsi="TH SarabunPSK" w:cs="TH SarabunPSK"/>
          <w:sz w:val="32"/>
          <w:szCs w:val="32"/>
          <w:cs/>
        </w:rPr>
        <w:t>กับการ</w:t>
      </w:r>
      <w:r w:rsidR="007C204B" w:rsidRPr="000B64DD">
        <w:rPr>
          <w:rFonts w:ascii="TH SarabunPSK" w:hAnsi="TH SarabunPSK" w:cs="TH SarabunPSK"/>
          <w:sz w:val="32"/>
          <w:szCs w:val="32"/>
          <w:cs/>
        </w:rPr>
        <w:t>ใช้</w:t>
      </w:r>
      <w:proofErr w:type="spellStart"/>
      <w:r w:rsidR="007C204B" w:rsidRPr="000B64DD">
        <w:rPr>
          <w:rFonts w:ascii="TH SarabunPSK" w:hAnsi="TH SarabunPSK" w:cs="TH SarabunPSK"/>
          <w:sz w:val="32"/>
          <w:szCs w:val="32"/>
          <w:cs/>
        </w:rPr>
        <w:t>วัสดุอะมัลกัม</w:t>
      </w:r>
      <w:proofErr w:type="spellEnd"/>
      <w:r w:rsidR="007C204B" w:rsidRPr="000B64DD">
        <w:rPr>
          <w:rFonts w:ascii="TH SarabunPSK" w:hAnsi="TH SarabunPSK" w:cs="TH SarabunPSK"/>
          <w:sz w:val="32"/>
          <w:szCs w:val="32"/>
        </w:rPr>
        <w:t xml:space="preserve"> ( </w:t>
      </w:r>
      <w:r w:rsidR="007C204B" w:rsidRPr="000B64DD">
        <w:rPr>
          <w:rFonts w:ascii="TH SarabunPSK" w:hAnsi="TH SarabunPSK" w:cs="TH SarabunPSK"/>
          <w:sz w:val="32"/>
          <w:szCs w:val="32"/>
          <w:cs/>
        </w:rPr>
        <w:t>ใน</w:t>
      </w:r>
      <w:r w:rsidR="007C204B" w:rsidRPr="000B64DD">
        <w:rPr>
          <w:rFonts w:ascii="TH SarabunPSK" w:hAnsi="TH SarabunPSK" w:cs="TH SarabunPSK"/>
          <w:sz w:val="32"/>
          <w:szCs w:val="32"/>
        </w:rPr>
        <w:t xml:space="preserve">10 </w:t>
      </w:r>
      <w:r w:rsidR="007C204B" w:rsidRPr="000B64DD">
        <w:rPr>
          <w:rFonts w:ascii="TH SarabunPSK" w:hAnsi="TH SarabunPSK" w:cs="TH SarabunPSK"/>
          <w:sz w:val="32"/>
          <w:szCs w:val="32"/>
          <w:cs/>
        </w:rPr>
        <w:t>ส่วน</w:t>
      </w:r>
      <w:r w:rsidR="007C204B" w:rsidRPr="000B64DD">
        <w:rPr>
          <w:rFonts w:ascii="TH SarabunPSK" w:hAnsi="TH SarabunPSK" w:cs="TH SarabunPSK"/>
          <w:sz w:val="32"/>
          <w:szCs w:val="32"/>
        </w:rPr>
        <w:t xml:space="preserve">) </w:t>
      </w:r>
    </w:p>
    <w:tbl>
      <w:tblPr>
        <w:tblW w:w="10702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915"/>
        <w:gridCol w:w="709"/>
        <w:gridCol w:w="851"/>
        <w:gridCol w:w="850"/>
        <w:gridCol w:w="851"/>
        <w:gridCol w:w="708"/>
        <w:gridCol w:w="791"/>
        <w:gridCol w:w="709"/>
        <w:gridCol w:w="704"/>
        <w:gridCol w:w="709"/>
        <w:gridCol w:w="708"/>
        <w:gridCol w:w="709"/>
        <w:gridCol w:w="851"/>
      </w:tblGrid>
      <w:tr w:rsidR="007C204B" w:rsidRPr="000B64DD" w:rsidTr="000B64DD">
        <w:trPr>
          <w:cantSplit/>
        </w:trPr>
        <w:tc>
          <w:tcPr>
            <w:tcW w:w="1552" w:type="dxa"/>
            <w:gridSpan w:val="2"/>
            <w:vMerge w:val="restart"/>
            <w:shd w:val="clear" w:color="auto" w:fill="FFFFFF"/>
          </w:tcPr>
          <w:p w:rsidR="007C204B" w:rsidRPr="000B64DD" w:rsidRDefault="000B64DD" w:rsidP="000B64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</w:t>
            </w:r>
          </w:p>
        </w:tc>
        <w:tc>
          <w:tcPr>
            <w:tcW w:w="8299" w:type="dxa"/>
            <w:gridSpan w:val="11"/>
            <w:shd w:val="clear" w:color="auto" w:fill="FFFFFF"/>
          </w:tcPr>
          <w:p w:rsidR="007C204B" w:rsidRPr="000B64DD" w:rsidRDefault="007C204B" w:rsidP="000B64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proofErr w:type="spellStart"/>
            <w:r w:rsidRPr="000B64DD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วัสดุอะมัลกัม</w:t>
            </w:r>
            <w:proofErr w:type="spellEnd"/>
            <w:r w:rsidRPr="000B64DD">
              <w:rPr>
                <w:rFonts w:ascii="TH SarabunPSK" w:hAnsi="TH SarabunPSK" w:cs="TH SarabunPSK"/>
                <w:sz w:val="32"/>
                <w:szCs w:val="32"/>
                <w:cs/>
              </w:rPr>
              <w:t>เป็นสัดส่วน</w:t>
            </w:r>
            <w:r w:rsidRPr="000B64DD">
              <w:rPr>
                <w:rFonts w:ascii="TH SarabunPSK" w:hAnsi="TH SarabunPSK" w:cs="TH SarabunPSK"/>
                <w:sz w:val="32"/>
                <w:szCs w:val="32"/>
              </w:rPr>
              <w:t xml:space="preserve"> ( </w:t>
            </w:r>
            <w:r w:rsidR="000B64DD" w:rsidRPr="000B6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 w:rsidRPr="000B64DD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0B64DD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0B64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</w:tr>
      <w:tr w:rsidR="00257734" w:rsidRPr="000B64DD" w:rsidTr="000B64DD">
        <w:trPr>
          <w:cantSplit/>
        </w:trPr>
        <w:tc>
          <w:tcPr>
            <w:tcW w:w="1552" w:type="dxa"/>
            <w:gridSpan w:val="2"/>
            <w:vMerge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1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4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vMerge/>
            <w:shd w:val="clear" w:color="auto" w:fill="FFFFFF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734" w:rsidRPr="000B64DD" w:rsidTr="000B64DD">
        <w:trPr>
          <w:cantSplit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7C204B" w:rsidRPr="000B64DD" w:rsidRDefault="007C204B" w:rsidP="000B64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85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42</w:t>
            </w:r>
          </w:p>
        </w:tc>
        <w:tc>
          <w:tcPr>
            <w:tcW w:w="850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29</w:t>
            </w:r>
          </w:p>
        </w:tc>
        <w:tc>
          <w:tcPr>
            <w:tcW w:w="85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44</w:t>
            </w:r>
          </w:p>
        </w:tc>
        <w:tc>
          <w:tcPr>
            <w:tcW w:w="70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23</w:t>
            </w:r>
          </w:p>
        </w:tc>
        <w:tc>
          <w:tcPr>
            <w:tcW w:w="79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11</w:t>
            </w:r>
          </w:p>
        </w:tc>
        <w:tc>
          <w:tcPr>
            <w:tcW w:w="704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247</w:t>
            </w:r>
          </w:p>
        </w:tc>
      </w:tr>
      <w:tr w:rsidR="00257734" w:rsidRPr="000B64DD" w:rsidTr="000B64DD">
        <w:trPr>
          <w:cantSplit/>
        </w:trPr>
        <w:tc>
          <w:tcPr>
            <w:tcW w:w="637" w:type="dxa"/>
            <w:vMerge/>
            <w:shd w:val="clear" w:color="auto" w:fill="FFFFFF"/>
            <w:vAlign w:val="center"/>
          </w:tcPr>
          <w:p w:rsidR="007C204B" w:rsidRPr="000B64DD" w:rsidRDefault="007C204B" w:rsidP="000B64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BFBFBF" w:themeFill="background1" w:themeFillShade="BF"/>
            <w:vAlign w:val="center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8.5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17.0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11.7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17.8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9.3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16.2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4.5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5.7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6.9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2.0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0.4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</w:t>
            </w:r>
          </w:p>
        </w:tc>
      </w:tr>
      <w:tr w:rsidR="00257734" w:rsidRPr="000B64DD" w:rsidTr="000B64DD">
        <w:trPr>
          <w:cantSplit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7C204B" w:rsidRPr="000B64DD" w:rsidRDefault="007C204B" w:rsidP="000B64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  <w:r w:rsidRPr="000B64D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ทราบ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27</w:t>
            </w:r>
          </w:p>
        </w:tc>
        <w:tc>
          <w:tcPr>
            <w:tcW w:w="850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27</w:t>
            </w:r>
          </w:p>
        </w:tc>
        <w:tc>
          <w:tcPr>
            <w:tcW w:w="85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34</w:t>
            </w:r>
          </w:p>
        </w:tc>
        <w:tc>
          <w:tcPr>
            <w:tcW w:w="70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14</w:t>
            </w:r>
          </w:p>
        </w:tc>
        <w:tc>
          <w:tcPr>
            <w:tcW w:w="79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47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04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38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70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246</w:t>
            </w:r>
          </w:p>
        </w:tc>
      </w:tr>
      <w:tr w:rsidR="00257734" w:rsidRPr="000B64DD" w:rsidTr="000B64DD">
        <w:trPr>
          <w:cantSplit/>
        </w:trPr>
        <w:tc>
          <w:tcPr>
            <w:tcW w:w="637" w:type="dxa"/>
            <w:vMerge/>
            <w:shd w:val="clear" w:color="auto" w:fill="FFFFFF"/>
            <w:vAlign w:val="center"/>
          </w:tcPr>
          <w:p w:rsidR="007C204B" w:rsidRPr="000B64DD" w:rsidRDefault="007C204B" w:rsidP="000B64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BFBFBF" w:themeFill="background1" w:themeFillShade="BF"/>
            <w:vAlign w:val="center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4.1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11.0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11.0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13.8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5.7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19.1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6.5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15.4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8.5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3.3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1.6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</w:t>
            </w:r>
          </w:p>
        </w:tc>
      </w:tr>
      <w:tr w:rsidR="00257734" w:rsidRPr="000B64DD" w:rsidTr="000B64DD">
        <w:trPr>
          <w:cantSplit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7C204B" w:rsidRPr="000B64DD" w:rsidRDefault="007C204B" w:rsidP="000B64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sz w:val="32"/>
                <w:szCs w:val="32"/>
              </w:rPr>
              <w:lastRenderedPageBreak/>
              <w:t>Total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31</w:t>
            </w:r>
          </w:p>
        </w:tc>
        <w:tc>
          <w:tcPr>
            <w:tcW w:w="85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69</w:t>
            </w:r>
          </w:p>
        </w:tc>
        <w:tc>
          <w:tcPr>
            <w:tcW w:w="850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56</w:t>
            </w:r>
          </w:p>
        </w:tc>
        <w:tc>
          <w:tcPr>
            <w:tcW w:w="85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78</w:t>
            </w:r>
          </w:p>
        </w:tc>
        <w:tc>
          <w:tcPr>
            <w:tcW w:w="70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37</w:t>
            </w:r>
          </w:p>
        </w:tc>
        <w:tc>
          <w:tcPr>
            <w:tcW w:w="79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87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27</w:t>
            </w:r>
          </w:p>
        </w:tc>
        <w:tc>
          <w:tcPr>
            <w:tcW w:w="704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52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38</w:t>
            </w:r>
          </w:p>
        </w:tc>
        <w:tc>
          <w:tcPr>
            <w:tcW w:w="708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7C204B" w:rsidRPr="000B64DD" w:rsidRDefault="007C204B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493</w:t>
            </w:r>
          </w:p>
        </w:tc>
      </w:tr>
      <w:tr w:rsidR="00257734" w:rsidRPr="000B64DD" w:rsidTr="000B64DD">
        <w:trPr>
          <w:cantSplit/>
        </w:trPr>
        <w:tc>
          <w:tcPr>
            <w:tcW w:w="637" w:type="dxa"/>
            <w:vMerge/>
            <w:shd w:val="clear" w:color="auto" w:fill="FFFFFF"/>
            <w:vAlign w:val="center"/>
          </w:tcPr>
          <w:p w:rsidR="007C204B" w:rsidRPr="000B64DD" w:rsidRDefault="007C204B" w:rsidP="00DD4B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BFBFBF" w:themeFill="background1" w:themeFillShade="BF"/>
            <w:vAlign w:val="center"/>
          </w:tcPr>
          <w:p w:rsidR="007C204B" w:rsidRPr="000B64DD" w:rsidRDefault="007C204B" w:rsidP="00DD4B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4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6.3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14.0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11.4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15.8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7.5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17.6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5.5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10.5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7.7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2.6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1.0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C204B" w:rsidRPr="000B64DD" w:rsidRDefault="000B64DD" w:rsidP="00DD4B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B64D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</w:t>
            </w:r>
          </w:p>
        </w:tc>
      </w:tr>
    </w:tbl>
    <w:p w:rsidR="00257734" w:rsidRPr="000B64DD" w:rsidRDefault="00257734" w:rsidP="007C204B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0B64DD" w:rsidRPr="000B64DD" w:rsidRDefault="000B64DD" w:rsidP="007C204B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7C204B" w:rsidRPr="000B64DD" w:rsidRDefault="007C204B" w:rsidP="007C204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4DD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ปัจจัยที่ส่งผลกระทบและบทวิเคราะห์ </w:t>
      </w:r>
      <w:r w:rsidRPr="000B64DD">
        <w:rPr>
          <w:rFonts w:ascii="TH SarabunPSK" w:hAnsi="TH SarabunPSK" w:cs="TH SarabunPSK"/>
          <w:b/>
          <w:bCs/>
          <w:sz w:val="32"/>
          <w:szCs w:val="32"/>
        </w:rPr>
        <w:t xml:space="preserve">Gap </w:t>
      </w:r>
    </w:p>
    <w:p w:rsidR="007C204B" w:rsidRPr="000B64DD" w:rsidRDefault="007C204B" w:rsidP="007C204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4DD">
        <w:rPr>
          <w:rFonts w:ascii="TH SarabunPSK" w:hAnsi="TH SarabunPSK" w:cs="TH SarabunPSK"/>
          <w:sz w:val="32"/>
          <w:szCs w:val="32"/>
          <w:cs/>
        </w:rPr>
        <w:t>จากผู้ตอบแบบสอบถาม จำนวน 493 คน ผู้ตอบส่วนใหญ่เป็นเจ้าพนักงาน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>สาธารณสุข และ       ส่วนใหญ่เป็นผู้ให้บริการในเด็กซึ่งมีอัตราการเกิดฟันผุมาก และการอุดฟัน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ด้วยอะมัลกัม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 xml:space="preserve">เป็นวัสดุที่ใช้งานได้ง่าย ราคาประหยัด มีความคงทน โดยพบว่าในผู้ตอบทั้งหมด </w:t>
      </w:r>
      <w:r w:rsidRPr="00616D9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ครึ่งหนึ่งของผู้ตอบ(ร้อยละ </w:t>
      </w:r>
      <w:r w:rsidRPr="00616D97">
        <w:rPr>
          <w:rFonts w:ascii="TH SarabunPSK" w:hAnsi="TH SarabunPSK" w:cs="TH SarabunPSK"/>
          <w:sz w:val="32"/>
          <w:szCs w:val="32"/>
          <w:highlight w:val="yellow"/>
        </w:rPr>
        <w:t xml:space="preserve">49.9) </w:t>
      </w:r>
      <w:r w:rsidRPr="00616D97">
        <w:rPr>
          <w:rFonts w:ascii="TH SarabunPSK" w:hAnsi="TH SarabunPSK" w:cs="TH SarabunPSK"/>
          <w:sz w:val="32"/>
          <w:szCs w:val="32"/>
          <w:highlight w:val="yellow"/>
          <w:cs/>
        </w:rPr>
        <w:t>ไม่มีความรู้เรื่องอนุสัญญามินามาตะว่าด้วยปรอท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 การใช้วัสดุอุด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ฟันอะมัลกัม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 xml:space="preserve"> โดยใช้การเทียบสัดส่วนการอุดฟัน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ด้วยอะมัลกัม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B64DD">
        <w:rPr>
          <w:rFonts w:ascii="TH SarabunPSK" w:hAnsi="TH SarabunPSK" w:cs="TH SarabunPSK"/>
          <w:sz w:val="32"/>
          <w:szCs w:val="32"/>
        </w:rPr>
        <w:t xml:space="preserve">10 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ส่วน พบว่า ร้อยละ </w:t>
      </w:r>
      <w:r w:rsidRPr="000B64DD">
        <w:rPr>
          <w:rFonts w:ascii="TH SarabunPSK" w:hAnsi="TH SarabunPSK" w:cs="TH SarabunPSK"/>
          <w:sz w:val="32"/>
          <w:szCs w:val="32"/>
        </w:rPr>
        <w:t xml:space="preserve">6.3 </w:t>
      </w:r>
      <w:r w:rsidRPr="000B64DD">
        <w:rPr>
          <w:rFonts w:ascii="TH SarabunPSK" w:hAnsi="TH SarabunPSK" w:cs="TH SarabunPSK"/>
          <w:sz w:val="32"/>
          <w:szCs w:val="32"/>
          <w:cs/>
        </w:rPr>
        <w:t>ไม่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ใช้อะมัลกัม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 xml:space="preserve">ในการอุดฟัน ร้อยละ 41.2 ใช้ในสัดส่วน 1-3 ร้อยละ 30.6 </w:t>
      </w:r>
      <w:r w:rsidR="00257734" w:rsidRPr="000B64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ใช้ในสัดส่วน 4-7 และร้อยละ 21.9 ใช้ในสัดส่วน 8-10  </w:t>
      </w:r>
      <w:r w:rsidR="00257734" w:rsidRPr="000B64DD">
        <w:rPr>
          <w:rFonts w:ascii="TH SarabunPSK" w:hAnsi="TH SarabunPSK" w:cs="TH SarabunPSK"/>
          <w:sz w:val="32"/>
          <w:szCs w:val="32"/>
          <w:cs/>
        </w:rPr>
        <w:t>รูป</w:t>
      </w:r>
      <w:proofErr w:type="spellStart"/>
      <w:r w:rsidR="00257734" w:rsidRPr="000B64DD">
        <w:rPr>
          <w:rFonts w:ascii="TH SarabunPSK" w:hAnsi="TH SarabunPSK" w:cs="TH SarabunPSK"/>
          <w:sz w:val="32"/>
          <w:szCs w:val="32"/>
          <w:cs/>
        </w:rPr>
        <w:t>แบบอะมัลกัม</w:t>
      </w:r>
      <w:proofErr w:type="spellEnd"/>
      <w:r w:rsidR="00257734" w:rsidRPr="000B64DD">
        <w:rPr>
          <w:rFonts w:ascii="TH SarabunPSK" w:hAnsi="TH SarabunPSK" w:cs="TH SarabunPSK"/>
          <w:sz w:val="32"/>
          <w:szCs w:val="32"/>
          <w:cs/>
        </w:rPr>
        <w:t>ที่ใช้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ส่วนมากร้อยละ </w:t>
      </w:r>
      <w:r w:rsidRPr="000B64DD">
        <w:rPr>
          <w:rFonts w:ascii="TH SarabunPSK" w:hAnsi="TH SarabunPSK" w:cs="TH SarabunPSK"/>
          <w:sz w:val="32"/>
          <w:szCs w:val="32"/>
        </w:rPr>
        <w:t xml:space="preserve">95.7 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ใช้อะมัลกัม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>ชนิดแคปซูล (</w:t>
      </w:r>
      <w:r w:rsidRPr="000B64DD">
        <w:rPr>
          <w:rFonts w:ascii="TH SarabunPSK" w:hAnsi="TH SarabunPSK" w:cs="TH SarabunPSK"/>
          <w:sz w:val="32"/>
          <w:szCs w:val="32"/>
        </w:rPr>
        <w:t xml:space="preserve">Capsulated) 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และร้อยละ 0.8 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ใช้อะมัลกัม</w:t>
      </w:r>
      <w:proofErr w:type="spellEnd"/>
      <w:r w:rsidRPr="000B64DD">
        <w:rPr>
          <w:rFonts w:ascii="TH SarabunPSK" w:hAnsi="TH SarabunPSK" w:cs="TH SarabunPSK"/>
          <w:sz w:val="32"/>
          <w:szCs w:val="32"/>
          <w:cs/>
        </w:rPr>
        <w:t xml:space="preserve">ในรูปแบบแคปซูลและแบบเม็ด </w:t>
      </w:r>
      <w:r w:rsidRPr="000B64DD">
        <w:rPr>
          <w:rFonts w:ascii="TH SarabunPSK" w:hAnsi="TH SarabunPSK" w:cs="TH SarabunPSK"/>
          <w:sz w:val="32"/>
          <w:szCs w:val="32"/>
        </w:rPr>
        <w:t xml:space="preserve"> </w:t>
      </w:r>
      <w:r w:rsidRPr="000B64DD">
        <w:rPr>
          <w:rFonts w:ascii="TH SarabunPSK" w:hAnsi="TH SarabunPSK" w:cs="TH SarabunPSK"/>
          <w:sz w:val="32"/>
          <w:szCs w:val="32"/>
          <w:cs/>
        </w:rPr>
        <w:t>ซึ่งสะท้อนว่าในปัจจุบันการใช้</w:t>
      </w:r>
      <w:proofErr w:type="spellStart"/>
      <w:r w:rsidRPr="000B64DD">
        <w:rPr>
          <w:rFonts w:ascii="TH SarabunPSK" w:hAnsi="TH SarabunPSK" w:cs="TH SarabunPSK"/>
          <w:sz w:val="32"/>
          <w:szCs w:val="32"/>
          <w:cs/>
        </w:rPr>
        <w:t>งานอะมัลกัม</w:t>
      </w:r>
      <w:proofErr w:type="spellEnd"/>
      <w:r w:rsidR="00257734" w:rsidRPr="000B64DD">
        <w:rPr>
          <w:rFonts w:ascii="TH SarabunPSK" w:hAnsi="TH SarabunPSK" w:cs="TH SarabunPSK"/>
          <w:sz w:val="32"/>
          <w:szCs w:val="32"/>
          <w:cs/>
        </w:rPr>
        <w:t>แบบเม็ด</w:t>
      </w:r>
      <w:r w:rsidRPr="000B64DD">
        <w:rPr>
          <w:rFonts w:ascii="TH SarabunPSK" w:hAnsi="TH SarabunPSK" w:cs="TH SarabunPSK"/>
          <w:sz w:val="32"/>
          <w:szCs w:val="32"/>
          <w:cs/>
        </w:rPr>
        <w:t xml:space="preserve">มีสัดส่วนที่ลดลงกว่าแต่ก่อน ซึ่งเป็นไปตามทิศทางของข้อบังคับตามอนุสัญญามินามาตะที่ให้ลดการใช้ลง </w:t>
      </w:r>
      <w:r w:rsidR="00257734" w:rsidRPr="000B64DD">
        <w:rPr>
          <w:rFonts w:ascii="TH SarabunPSK" w:hAnsi="TH SarabunPSK" w:cs="TH SarabunPSK"/>
          <w:sz w:val="32"/>
          <w:szCs w:val="32"/>
          <w:cs/>
        </w:rPr>
        <w:t>และ</w:t>
      </w:r>
      <w:r w:rsidR="00257734" w:rsidRPr="00616D97">
        <w:rPr>
          <w:rFonts w:ascii="TH SarabunPSK" w:hAnsi="TH SarabunPSK" w:cs="TH SarabunPSK"/>
          <w:sz w:val="32"/>
          <w:szCs w:val="32"/>
          <w:highlight w:val="yellow"/>
          <w:cs/>
        </w:rPr>
        <w:t>ต้องการการสนับสนุน</w:t>
      </w:r>
      <w:r w:rsidR="00257734" w:rsidRPr="00616D97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ให้จัดอบรมวิธีปฏิบัติที่เหมาะสม</w:t>
      </w:r>
      <w:r w:rsidR="00257734" w:rsidRPr="00616D97">
        <w:rPr>
          <w:rFonts w:ascii="TH SarabunPSK" w:hAnsi="TH SarabunPSK" w:cs="TH SarabunPSK"/>
          <w:color w:val="000000"/>
          <w:sz w:val="32"/>
          <w:szCs w:val="32"/>
          <w:highlight w:val="yellow"/>
        </w:rPr>
        <w:t xml:space="preserve">, </w:t>
      </w:r>
      <w:r w:rsidR="00257734" w:rsidRPr="00616D97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จัดอบรมเรื่องการจัดการของเสียจาก</w:t>
      </w:r>
      <w:proofErr w:type="spellStart"/>
      <w:r w:rsidR="00257734" w:rsidRPr="00616D97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วัสดุอะมัลกัม</w:t>
      </w:r>
      <w:proofErr w:type="spellEnd"/>
      <w:r w:rsidR="00257734" w:rsidRPr="00616D97">
        <w:rPr>
          <w:rFonts w:ascii="TH SarabunPSK" w:hAnsi="TH SarabunPSK" w:cs="TH SarabunPSK"/>
          <w:color w:val="000000"/>
          <w:sz w:val="32"/>
          <w:szCs w:val="32"/>
          <w:highlight w:val="yellow"/>
        </w:rPr>
        <w:t xml:space="preserve">, </w:t>
      </w:r>
      <w:r w:rsidR="00257734" w:rsidRPr="00616D97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และมีคู่มือ</w:t>
      </w:r>
      <w:r w:rsidR="00257734" w:rsidRPr="00616D97">
        <w:rPr>
          <w:rFonts w:ascii="TH SarabunPSK" w:hAnsi="TH SarabunPSK" w:cs="TH SarabunPSK"/>
          <w:color w:val="000000"/>
          <w:sz w:val="32"/>
          <w:szCs w:val="32"/>
          <w:highlight w:val="yellow"/>
        </w:rPr>
        <w:t>/</w:t>
      </w:r>
      <w:r w:rsidR="00257734" w:rsidRPr="00616D97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แนวทางการ</w:t>
      </w:r>
      <w:proofErr w:type="spellStart"/>
      <w:r w:rsidR="00257734" w:rsidRPr="00616D97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ใช้อะมัลกัม</w:t>
      </w:r>
      <w:proofErr w:type="spellEnd"/>
      <w:r w:rsidR="00257734" w:rsidRPr="00616D97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อย่างเหมาะสมและการจัดการของเสียจากวัสดุ</w:t>
      </w:r>
      <w:r w:rsidR="0076388A" w:rsidRPr="00616D97">
        <w:rPr>
          <w:rFonts w:ascii="TH SarabunPSK" w:hAnsi="TH SarabunPSK" w:cs="TH SarabunPSK" w:hint="cs"/>
          <w:color w:val="000000"/>
          <w:sz w:val="32"/>
          <w:szCs w:val="32"/>
          <w:highlight w:val="yellow"/>
          <w:cs/>
        </w:rPr>
        <w:t>อุด</w:t>
      </w:r>
      <w:proofErr w:type="spellStart"/>
      <w:r w:rsidR="0076388A" w:rsidRPr="00616D97">
        <w:rPr>
          <w:rFonts w:ascii="TH SarabunPSK" w:hAnsi="TH SarabunPSK" w:cs="TH SarabunPSK" w:hint="cs"/>
          <w:color w:val="000000"/>
          <w:sz w:val="32"/>
          <w:szCs w:val="32"/>
          <w:highlight w:val="yellow"/>
          <w:cs/>
        </w:rPr>
        <w:t>ฟัน</w:t>
      </w:r>
      <w:r w:rsidR="00257734" w:rsidRPr="00616D97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อะมัลกัม</w:t>
      </w:r>
      <w:proofErr w:type="spellEnd"/>
      <w:r w:rsidR="00257734" w:rsidRPr="00616D9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ร้อยละ 41.2</w:t>
      </w:r>
    </w:p>
    <w:p w:rsidR="00257734" w:rsidRPr="000B64DD" w:rsidRDefault="00257734" w:rsidP="002577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204B" w:rsidRDefault="007C204B" w:rsidP="002577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จากการวิเคราะห์ </w:t>
      </w:r>
      <w:r w:rsidRPr="000B64DD">
        <w:rPr>
          <w:rFonts w:ascii="TH SarabunPSK" w:hAnsi="TH SarabunPSK" w:cs="TH SarabunPSK"/>
          <w:b/>
          <w:bCs/>
          <w:sz w:val="32"/>
          <w:szCs w:val="32"/>
        </w:rPr>
        <w:t xml:space="preserve">Gap </w:t>
      </w:r>
      <w:r w:rsidRPr="000B6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ดังกล่าว </w:t>
      </w:r>
      <w:r w:rsidR="00257734" w:rsidRPr="000B64DD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proofErr w:type="spellStart"/>
      <w:r w:rsidR="00257734" w:rsidRPr="000B64DD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="00257734" w:rsidRPr="000B64DD">
        <w:rPr>
          <w:rFonts w:ascii="TH SarabunPSK" w:hAnsi="TH SarabunPSK" w:cs="TH SarabunPSK"/>
          <w:b/>
          <w:bCs/>
          <w:sz w:val="32"/>
          <w:szCs w:val="32"/>
          <w:cs/>
        </w:rPr>
        <w:t>สาธารณสุข</w:t>
      </w:r>
      <w:r w:rsidRPr="000B64DD">
        <w:rPr>
          <w:rFonts w:ascii="TH SarabunPSK" w:hAnsi="TH SarabunPSK" w:cs="TH SarabunPSK"/>
          <w:b/>
          <w:bCs/>
          <w:sz w:val="32"/>
          <w:szCs w:val="32"/>
          <w:cs/>
        </w:rPr>
        <w:t>ควรดำเนินการ</w:t>
      </w:r>
    </w:p>
    <w:p w:rsidR="00694588" w:rsidRDefault="00694588" w:rsidP="00694588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เพิ่ม </w:t>
      </w:r>
      <w:r w:rsidRPr="00694588">
        <w:rPr>
          <w:rFonts w:ascii="TH SarabunPSK" w:hAnsi="TH SarabunPSK" w:cs="TH SarabunPSK"/>
          <w:b/>
          <w:bCs/>
          <w:sz w:val="32"/>
          <w:szCs w:val="32"/>
        </w:rPr>
        <w:t xml:space="preserve">Competency </w:t>
      </w:r>
      <w:r w:rsidRPr="00694588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6945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ได้แก่</w:t>
      </w:r>
    </w:p>
    <w:p w:rsidR="00694588" w:rsidRPr="000B64DD" w:rsidRDefault="00694588" w:rsidP="00694588">
      <w:pPr>
        <w:pStyle w:val="a4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64DD">
        <w:rPr>
          <w:rFonts w:ascii="TH SarabunPSK" w:hAnsi="TH SarabunPSK" w:cs="TH SarabunPSK"/>
          <w:sz w:val="32"/>
          <w:szCs w:val="32"/>
          <w:cs/>
        </w:rPr>
        <w:t>จัดทำ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คู่มือ</w:t>
      </w:r>
      <w:r w:rsidRPr="000B64DD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</w:t>
      </w:r>
      <w:proofErr w:type="spellStart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ใช้อะมัลกัม</w:t>
      </w:r>
      <w:proofErr w:type="spellEnd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อย่างเหมาะสมและการจัดการของเสียจาก</w:t>
      </w:r>
      <w:proofErr w:type="spellStart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วัสดุอะมัลกัม</w:t>
      </w:r>
      <w:proofErr w:type="spellEnd"/>
    </w:p>
    <w:p w:rsidR="00694588" w:rsidRPr="000B64DD" w:rsidRDefault="00694588" w:rsidP="00694588">
      <w:pPr>
        <w:pStyle w:val="a4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จัดอบรมวิธีปฏิบัติที่เหมาะ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สม</w:t>
      </w:r>
    </w:p>
    <w:p w:rsidR="00694588" w:rsidRDefault="00694588" w:rsidP="00694588">
      <w:pPr>
        <w:pStyle w:val="a4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จัดอบรมเรื่องการจัดการของเสียจาก</w:t>
      </w:r>
      <w:proofErr w:type="spellStart"/>
      <w:r w:rsidRPr="000B64DD">
        <w:rPr>
          <w:rFonts w:ascii="TH SarabunPSK" w:hAnsi="TH SarabunPSK" w:cs="TH SarabunPSK"/>
          <w:color w:val="000000"/>
          <w:sz w:val="32"/>
          <w:szCs w:val="32"/>
          <w:cs/>
        </w:rPr>
        <w:t>วัสดุอะมัลกัม</w:t>
      </w:r>
      <w:proofErr w:type="spellEnd"/>
      <w:r w:rsidRPr="000B64D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94588" w:rsidRPr="00694588" w:rsidRDefault="00694588" w:rsidP="00694588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9458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เพิ่ม </w:t>
      </w:r>
      <w:r w:rsidRPr="00694588">
        <w:rPr>
          <w:rFonts w:ascii="TH SarabunPSK" w:hAnsi="TH SarabunPSK" w:cs="TH SarabunPSK"/>
          <w:b/>
          <w:bCs/>
          <w:sz w:val="32"/>
          <w:szCs w:val="32"/>
        </w:rPr>
        <w:t xml:space="preserve">HL </w:t>
      </w:r>
      <w:r w:rsidRPr="0069458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</w:t>
      </w:r>
    </w:p>
    <w:p w:rsidR="00694588" w:rsidRPr="00694588" w:rsidRDefault="00694588" w:rsidP="00694588">
      <w:pPr>
        <w:pStyle w:val="a4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945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ด้านการส่งเสริมป้องกันฟันผุ </w:t>
      </w:r>
    </w:p>
    <w:p w:rsidR="00694588" w:rsidRDefault="00694588" w:rsidP="00694588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58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ข้อเสนอเชิงนโยบาย </w:t>
      </w:r>
    </w:p>
    <w:p w:rsidR="00694588" w:rsidRPr="00694588" w:rsidRDefault="00694588" w:rsidP="00694588">
      <w:pPr>
        <w:pStyle w:val="a4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การดำเนินการประสานสำนักงานคณะกรรมการอาหารและยาเพื่อจัดทำประกาศการห้ามนำเข้า ผลิต และจำหน่าย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อะมัลกัม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ทางทันตก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ชนิดเม็ด</w:t>
      </w:r>
    </w:p>
    <w:p w:rsidR="00694588" w:rsidRPr="00694588" w:rsidRDefault="00694588" w:rsidP="00694588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588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มาตรการในพื้นที่</w:t>
      </w:r>
    </w:p>
    <w:p w:rsidR="00694588" w:rsidRDefault="00694588" w:rsidP="00694588">
      <w:pPr>
        <w:pStyle w:val="a4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ส่งเสริมให้พื้นที่ดำเนินงานตามมาตรการป้องกันฟันผุทุกกลุ่มวัย</w:t>
      </w:r>
    </w:p>
    <w:p w:rsidR="007C204B" w:rsidRDefault="007C204B" w:rsidP="00694588">
      <w:pPr>
        <w:pStyle w:val="a4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588">
        <w:rPr>
          <w:rFonts w:ascii="TH SarabunPSK" w:hAnsi="TH SarabunPSK" w:cs="TH SarabunPSK"/>
          <w:sz w:val="32"/>
          <w:szCs w:val="32"/>
          <w:cs/>
        </w:rPr>
        <w:t>ขับเคลื่อนให้โรงพยาบาลหน่วยงานที่เกี่ยวข้องในสังกัดกระทรวงสาธารณสุขมีความรู้ความเข้าใจเกี่ยวกับ</w:t>
      </w:r>
      <w:r w:rsidR="00257734" w:rsidRPr="00694588">
        <w:rPr>
          <w:rFonts w:ascii="TH SarabunPSK" w:hAnsi="TH SarabunPSK" w:cs="TH SarabunPSK"/>
          <w:sz w:val="32"/>
          <w:szCs w:val="32"/>
          <w:cs/>
        </w:rPr>
        <w:t xml:space="preserve">ความรู้เกี่ยวกับอนุสัญญามินามาตะ รวมถึงรณรงค์ป้องกันการเกิดโรคฟันผุเพื่อลดการใช้วัสดุอุดฟัน </w:t>
      </w:r>
    </w:p>
    <w:p w:rsidR="00694588" w:rsidRPr="00694588" w:rsidRDefault="00694588" w:rsidP="00694588">
      <w:pPr>
        <w:pStyle w:val="a4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สนับสนุนให้มีการนำวัสดุอุดทดแทนมาใช้ในการอุดฟัน</w:t>
      </w:r>
      <w:r w:rsidR="00041084">
        <w:rPr>
          <w:rFonts w:ascii="TH SarabunPSK" w:hAnsi="TH SarabunPSK" w:cs="TH SarabunPSK" w:hint="cs"/>
          <w:sz w:val="32"/>
          <w:szCs w:val="32"/>
          <w:cs/>
        </w:rPr>
        <w:t xml:space="preserve">เช่น การอุดฟันด้วย </w:t>
      </w:r>
      <w:r w:rsidR="00041084">
        <w:rPr>
          <w:rFonts w:ascii="TH SarabunPSK" w:hAnsi="TH SarabunPSK" w:cs="TH SarabunPSK"/>
          <w:sz w:val="32"/>
          <w:szCs w:val="32"/>
        </w:rPr>
        <w:t xml:space="preserve">SMART technic </w:t>
      </w:r>
      <w:r w:rsidR="00041084">
        <w:rPr>
          <w:rFonts w:ascii="TH SarabunPSK" w:hAnsi="TH SarabunPSK" w:cs="TH SarabunPSK" w:hint="cs"/>
          <w:sz w:val="32"/>
          <w:szCs w:val="32"/>
          <w:cs/>
        </w:rPr>
        <w:t>ในเด็กเล็ก</w:t>
      </w:r>
    </w:p>
    <w:p w:rsidR="007C204B" w:rsidRPr="000B64DD" w:rsidRDefault="007C204B">
      <w:pPr>
        <w:rPr>
          <w:rFonts w:ascii="TH SarabunPSK" w:hAnsi="TH SarabunPSK" w:cs="TH SarabunPSK"/>
        </w:rPr>
      </w:pPr>
    </w:p>
    <w:sectPr w:rsidR="007C204B" w:rsidRPr="000B64DD" w:rsidSect="007C204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53FF"/>
    <w:multiLevelType w:val="hybridMultilevel"/>
    <w:tmpl w:val="4F3E5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D7031"/>
    <w:multiLevelType w:val="hybridMultilevel"/>
    <w:tmpl w:val="B6DA62DA"/>
    <w:lvl w:ilvl="0" w:tplc="27EC12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E9C6B45"/>
    <w:multiLevelType w:val="hybridMultilevel"/>
    <w:tmpl w:val="4328D3EC"/>
    <w:lvl w:ilvl="0" w:tplc="B644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4B"/>
    <w:rsid w:val="00041084"/>
    <w:rsid w:val="000B64DD"/>
    <w:rsid w:val="00257734"/>
    <w:rsid w:val="00616D97"/>
    <w:rsid w:val="00694588"/>
    <w:rsid w:val="0076388A"/>
    <w:rsid w:val="007C204B"/>
    <w:rsid w:val="00A70A60"/>
    <w:rsid w:val="00D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4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0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204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4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0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204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th-TH" sz="1400" b="0"/>
              <a:t>ตำแหน่งการปฎิบัติงานต่อการรับรู้อนุสัญญามินามาตะ</a:t>
            </a:r>
          </a:p>
        </c:rich>
      </c:tx>
      <c:layout>
        <c:manualLayout>
          <c:xMode val="edge"/>
          <c:yMode val="edge"/>
          <c:x val="9.7557529146066038E-2"/>
          <c:y val="5.913246351452445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185334240627329"/>
          <c:y val="0.22441073964115144"/>
          <c:w val="0.62989974401347981"/>
          <c:h val="0.6189656211006411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explosion val="7"/>
            <c:extLst xmlns:c16r2="http://schemas.microsoft.com/office/drawing/2015/06/chart">
              <c:ext xmlns:c16="http://schemas.microsoft.com/office/drawing/2014/chart" uri="{C3380CC4-5D6E-409C-BE32-E72D297353CC}">
                <c16:uniqueId val="{00000000-E199-4F0B-82AF-3D51CF878E35}"/>
              </c:ext>
            </c:extLst>
          </c:dPt>
          <c:dLbls>
            <c:dLbl>
              <c:idx val="0"/>
              <c:layout>
                <c:manualLayout>
                  <c:x val="-0.17503101001263732"/>
                  <c:y val="-7.9333075168882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99-4F0B-82AF-3D51CF878E35}"/>
                </c:ext>
              </c:extLst>
            </c:dLbl>
            <c:dLbl>
              <c:idx val="1"/>
              <c:layout>
                <c:manualLayout>
                  <c:x val="0.16773532938012378"/>
                  <c:y val="6.9574028656254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99-4F0B-82AF-3D51CF878E3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ทันตแพทย์</c:v>
                </c:pt>
                <c:pt idx="1">
                  <c:v>ทันตาภิบาล</c:v>
                </c:pt>
              </c:strCache>
            </c:strRef>
          </c:cat>
          <c:val>
            <c:numRef>
              <c:f>Sheet1!$B$2:$B$3</c:f>
              <c:numCache>
                <c:formatCode>0.0</c:formatCode>
                <c:ptCount val="2"/>
                <c:pt idx="0" formatCode="General">
                  <c:v>58.6</c:v>
                </c:pt>
                <c:pt idx="1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99-4F0B-82AF-3D51CF878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2.359882005899705E-2"/>
          <c:y val="0.67353135313531354"/>
          <c:w val="0.23529892096821228"/>
          <c:h val="0.22998050986200982"/>
        </c:manualLayout>
      </c:layout>
      <c:overlay val="0"/>
      <c:txPr>
        <a:bodyPr/>
        <a:lstStyle/>
        <a:p>
          <a:pPr>
            <a:defRPr sz="1100"/>
          </a:pPr>
          <a:endParaRPr lang="th-TH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th-TH" sz="1400" b="0"/>
              <a:t>ร้อยละการรับรู้อนุสัญญามินามาตะ</a:t>
            </a:r>
          </a:p>
        </c:rich>
      </c:tx>
      <c:layout>
        <c:manualLayout>
          <c:xMode val="edge"/>
          <c:yMode val="edge"/>
          <c:x val="0.22158841255954118"/>
          <c:y val="6.557377049180328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38803702168808"/>
          <c:y val="0.23905681144695623"/>
          <c:w val="0.73722371874568315"/>
          <c:h val="0.6681590607625659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explosion val="7"/>
            <c:extLst xmlns:c16r2="http://schemas.microsoft.com/office/drawing/2015/06/chart">
              <c:ext xmlns:c16="http://schemas.microsoft.com/office/drawing/2014/chart" uri="{C3380CC4-5D6E-409C-BE32-E72D297353CC}">
                <c16:uniqueId val="{00000000-E598-43D9-BC71-2BEF8F9C1A35}"/>
              </c:ext>
            </c:extLst>
          </c:dPt>
          <c:dLbls>
            <c:dLbl>
              <c:idx val="0"/>
              <c:layout>
                <c:manualLayout>
                  <c:x val="-0.17503101001263732"/>
                  <c:y val="-7.9333075168882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98-43D9-BC71-2BEF8F9C1A35}"/>
                </c:ext>
              </c:extLst>
            </c:dLbl>
            <c:dLbl>
              <c:idx val="1"/>
              <c:layout>
                <c:manualLayout>
                  <c:x val="0.18748841579987688"/>
                  <c:y val="-0.110753840196204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98-43D9-BC71-2BEF8F9C1A3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ทราบ</c:v>
                </c:pt>
                <c:pt idx="1">
                  <c:v>ไม่ทราบ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50.1</c:v>
                </c:pt>
                <c:pt idx="1">
                  <c:v>49.9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98-43D9-BC71-2BEF8F9C1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4.096871114794861E-2"/>
          <c:y val="0.73297716817655856"/>
          <c:w val="0.18807121149330017"/>
          <c:h val="0.21088163159932877"/>
        </c:manualLayout>
      </c:layout>
      <c:overlay val="0"/>
      <c:txPr>
        <a:bodyPr/>
        <a:lstStyle/>
        <a:p>
          <a:pPr>
            <a:defRPr sz="1100"/>
          </a:pPr>
          <a:endParaRPr lang="th-TH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th-TH" sz="1400" b="0" i="0" u="none" strike="noStrike" baseline="0">
                <a:effectLst/>
              </a:rPr>
              <a:t>ร้อยละสัดส่วนการใช้วัสดุอุดฟันอะมัลกัม</a:t>
            </a:r>
            <a:endParaRPr lang="th-TH" sz="1400" b="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7188335469694196"/>
          <c:y val="0.26338372703412072"/>
          <c:w val="0.78548098638832942"/>
          <c:h val="0.49023832020997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ร้อยละ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6.3</c:v>
                </c:pt>
                <c:pt idx="1">
                  <c:v>14</c:v>
                </c:pt>
                <c:pt idx="2">
                  <c:v>11.4</c:v>
                </c:pt>
                <c:pt idx="3">
                  <c:v>15.8</c:v>
                </c:pt>
                <c:pt idx="4">
                  <c:v>7.5</c:v>
                </c:pt>
                <c:pt idx="5">
                  <c:v>17.600000000000001</c:v>
                </c:pt>
                <c:pt idx="6">
                  <c:v>5.5</c:v>
                </c:pt>
                <c:pt idx="7">
                  <c:v>10.5</c:v>
                </c:pt>
                <c:pt idx="8">
                  <c:v>7.7</c:v>
                </c:pt>
                <c:pt idx="9">
                  <c:v>2.6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D4-48A4-B24D-EAD64B34A1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811328"/>
        <c:axId val="123813248"/>
      </c:barChart>
      <c:catAx>
        <c:axId val="123811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 b="0"/>
                </a:pPr>
                <a:r>
                  <a:rPr lang="th-TH" sz="1100" b="0"/>
                  <a:t>สัดส่วนการใช้อะมัลกัม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23813248"/>
        <c:crosses val="autoZero"/>
        <c:auto val="1"/>
        <c:lblAlgn val="ctr"/>
        <c:lblOffset val="100"/>
        <c:noMultiLvlLbl val="0"/>
      </c:catAx>
      <c:valAx>
        <c:axId val="123813248"/>
        <c:scaling>
          <c:orientation val="minMax"/>
          <c:max val="100"/>
        </c:scaling>
        <c:delete val="0"/>
        <c:axPos val="l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th-TH" sz="1200" b="0"/>
                  <a:t>ร้อยละ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23811328"/>
        <c:crosses val="autoZero"/>
        <c:crossBetween val="between"/>
        <c:majorUnit val="20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th-TH" sz="1400" b="0"/>
              <a:t>รูปแบบอะมัลกัมทางทันตกรรมที่ใช้ในการปฏิบัติงาน</a:t>
            </a:r>
          </a:p>
        </c:rich>
      </c:tx>
      <c:layout>
        <c:manualLayout>
          <c:xMode val="edge"/>
          <c:yMode val="edge"/>
          <c:x val="0.17549787758011731"/>
          <c:y val="4.918032786885245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905498849680828"/>
          <c:y val="0.19162385439524979"/>
          <c:w val="0.71878863290236872"/>
          <c:h val="0.7063973150897121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explosion val="16"/>
            <c:extLst xmlns:c16r2="http://schemas.microsoft.com/office/drawing/2015/06/chart">
              <c:ext xmlns:c16="http://schemas.microsoft.com/office/drawing/2014/chart" uri="{C3380CC4-5D6E-409C-BE32-E72D297353CC}">
                <c16:uniqueId val="{00000000-F584-4AEB-A3CB-7AD7BDFA96C2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84-4AEB-A3CB-7AD7BDFA96C2}"/>
                </c:ext>
              </c:extLst>
            </c:dLbl>
            <c:dLbl>
              <c:idx val="1"/>
              <c:layout>
                <c:manualLayout>
                  <c:x val="1.3113638572956159E-2"/>
                  <c:y val="8.80986188201884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84-4AEB-A3CB-7AD7BDFA96C2}"/>
                </c:ext>
              </c:extLst>
            </c:dLbl>
            <c:dLbl>
              <c:idx val="2"/>
              <c:layout>
                <c:manualLayout>
                  <c:x val="2.4693431839538576E-2"/>
                  <c:y val="-5.064325975646487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84-4AEB-A3CB-7AD7BDFA96C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แคปซูล</c:v>
                </c:pt>
                <c:pt idx="1">
                  <c:v>แบบเม็ด</c:v>
                </c:pt>
                <c:pt idx="2">
                  <c:v>ใช้ทั้ง 2 แบบ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95.7</c:v>
                </c:pt>
                <c:pt idx="1">
                  <c:v>3.4</c:v>
                </c:pt>
                <c:pt idx="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584-4AEB-A3CB-7AD7BDFA9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1.646090534979424E-2"/>
          <c:y val="0.66757970827417068"/>
          <c:w val="0.23529892096821228"/>
          <c:h val="0.21088163159932877"/>
        </c:manualLayout>
      </c:layout>
      <c:overlay val="0"/>
      <c:txPr>
        <a:bodyPr/>
        <a:lstStyle/>
        <a:p>
          <a:pPr>
            <a:defRPr sz="1100"/>
          </a:pPr>
          <a:endParaRPr lang="th-TH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good</cp:lastModifiedBy>
  <cp:revision>2</cp:revision>
  <dcterms:created xsi:type="dcterms:W3CDTF">2020-01-10T07:10:00Z</dcterms:created>
  <dcterms:modified xsi:type="dcterms:W3CDTF">2020-01-10T07:10:00Z</dcterms:modified>
</cp:coreProperties>
</file>